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41ED" w14:textId="0D378D19" w:rsidR="00B21F9D" w:rsidRPr="00CF0EEE" w:rsidRDefault="0080203B">
      <w:pPr>
        <w:tabs>
          <w:tab w:val="left" w:pos="2280"/>
        </w:tabs>
        <w:spacing w:after="0" w:line="240" w:lineRule="auto"/>
        <w:jc w:val="center"/>
        <w:rPr>
          <w:b/>
          <w:smallCaps/>
          <w:sz w:val="48"/>
          <w:szCs w:val="48"/>
        </w:rPr>
      </w:pPr>
      <w:r>
        <w:rPr>
          <w:b/>
          <w:smallCaps/>
          <w:sz w:val="48"/>
          <w:szCs w:val="48"/>
        </w:rPr>
        <w:t>The Effect of New Market-Rate Housing on the Low-Income Housing Market</w:t>
      </w:r>
    </w:p>
    <w:p w14:paraId="2062E296" w14:textId="36C2A5D2" w:rsidR="00B21F9D" w:rsidRDefault="003D345D">
      <w:pPr>
        <w:tabs>
          <w:tab w:val="left" w:pos="2280"/>
        </w:tabs>
        <w:spacing w:after="0" w:line="240" w:lineRule="auto"/>
        <w:jc w:val="center"/>
        <w:rPr>
          <w:sz w:val="18"/>
          <w:szCs w:val="18"/>
        </w:rPr>
      </w:pPr>
      <w:r>
        <w:rPr>
          <w:i/>
          <w:color w:val="806000"/>
          <w:sz w:val="24"/>
          <w:szCs w:val="24"/>
        </w:rPr>
        <w:t xml:space="preserve">Research conducted by </w:t>
      </w:r>
      <w:r w:rsidR="0080203B">
        <w:rPr>
          <w:i/>
          <w:color w:val="806000"/>
          <w:sz w:val="24"/>
          <w:szCs w:val="24"/>
        </w:rPr>
        <w:t>Evan Mast</w:t>
      </w:r>
      <w:r>
        <w:rPr>
          <w:i/>
          <w:color w:val="806000"/>
          <w:sz w:val="24"/>
          <w:szCs w:val="24"/>
        </w:rPr>
        <w:t xml:space="preserve"> (University of Notre Dame)</w:t>
      </w:r>
    </w:p>
    <w:p w14:paraId="0C9B64E5" w14:textId="77777777" w:rsidR="00B21F9D" w:rsidRDefault="00B21F9D">
      <w:pPr>
        <w:spacing w:after="0" w:line="240" w:lineRule="auto"/>
      </w:pPr>
    </w:p>
    <w:p w14:paraId="21155CF4" w14:textId="3103DB33" w:rsidR="00F225D1" w:rsidRDefault="00F225D1" w:rsidP="00F225D1">
      <w:pPr>
        <w:spacing w:after="0" w:line="240" w:lineRule="auto"/>
      </w:pPr>
      <w:r>
        <w:t xml:space="preserve">Housing costs and the share of income spent on housing are rising rapidly in many large cities, inspiring a heated debate on the appropriate policy response. </w:t>
      </w:r>
      <w:r w:rsidR="00CF695A">
        <w:t>“</w:t>
      </w:r>
      <w:r>
        <w:t>Yes-In-My-Backyard</w:t>
      </w:r>
      <w:r w:rsidR="00CF695A">
        <w:t>”</w:t>
      </w:r>
      <w:r>
        <w:t xml:space="preserve"> (YIMBY) groups advocate for market-based strategies that relax regulation and increase housing construction. Opposing groups argue that the YIMBY position is flawed</w:t>
      </w:r>
      <w:r w:rsidR="002E57FF">
        <w:t xml:space="preserve">, claiming that </w:t>
      </w:r>
      <w:r>
        <w:t xml:space="preserve">unsubsidized new housing is </w:t>
      </w:r>
      <w:r w:rsidR="002E57FF">
        <w:t>too expensive to affect affordability for</w:t>
      </w:r>
      <w:r>
        <w:t xml:space="preserve"> middle- and low-income households. </w:t>
      </w:r>
      <w:r w:rsidRPr="00F225D1">
        <w:t>This research project</w:t>
      </w:r>
      <w:r>
        <w:t xml:space="preserve"> </w:t>
      </w:r>
      <w:r w:rsidRPr="002151B5">
        <w:rPr>
          <w:rFonts w:eastAsia="Times New Roman" w:cs="Times New Roman"/>
          <w:color w:val="000000"/>
          <w:szCs w:val="24"/>
        </w:rPr>
        <w:t>use</w:t>
      </w:r>
      <w:r>
        <w:rPr>
          <w:rFonts w:eastAsia="Times New Roman" w:cs="Times New Roman"/>
          <w:color w:val="000000"/>
          <w:szCs w:val="24"/>
        </w:rPr>
        <w:t>s</w:t>
      </w:r>
      <w:r w:rsidRPr="002151B5">
        <w:rPr>
          <w:rFonts w:eastAsia="Times New Roman" w:cs="Times New Roman"/>
          <w:color w:val="000000"/>
          <w:szCs w:val="24"/>
        </w:rPr>
        <w:t xml:space="preserve"> data on </w:t>
      </w:r>
      <w:r>
        <w:rPr>
          <w:rFonts w:eastAsia="Times New Roman" w:cs="Times New Roman"/>
          <w:color w:val="000000"/>
          <w:szCs w:val="24"/>
        </w:rPr>
        <w:t>individual</w:t>
      </w:r>
      <w:r w:rsidRPr="002151B5">
        <w:rPr>
          <w:rFonts w:eastAsia="Times New Roman" w:cs="Times New Roman"/>
          <w:color w:val="000000"/>
          <w:szCs w:val="24"/>
        </w:rPr>
        <w:t xml:space="preserve"> address histories</w:t>
      </w:r>
      <w:r>
        <w:rPr>
          <w:rFonts w:eastAsia="Times New Roman" w:cs="Times New Roman"/>
          <w:color w:val="000000"/>
          <w:szCs w:val="24"/>
        </w:rPr>
        <w:t xml:space="preserve"> to study how new market-rate housing construction affects the market for housing in middle- and low-income neighborhoods.</w:t>
      </w:r>
    </w:p>
    <w:p w14:paraId="62187334" w14:textId="77777777" w:rsidR="00F225D1" w:rsidRDefault="00F225D1" w:rsidP="00F225D1">
      <w:pPr>
        <w:spacing w:after="0" w:line="240" w:lineRule="auto"/>
        <w:rPr>
          <w:b/>
          <w:sz w:val="28"/>
          <w:szCs w:val="28"/>
        </w:rPr>
      </w:pPr>
    </w:p>
    <w:p w14:paraId="4FE851B6" w14:textId="07F92472" w:rsidR="00B21F9D" w:rsidRDefault="00F225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Ripple Effect of Migration Chains</w:t>
      </w:r>
    </w:p>
    <w:p w14:paraId="1E93949A" w14:textId="77777777" w:rsidR="00B21F9D" w:rsidRDefault="00B21F9D">
      <w:pPr>
        <w:spacing w:after="0" w:line="240" w:lineRule="auto"/>
        <w:jc w:val="both"/>
      </w:pPr>
    </w:p>
    <w:p w14:paraId="7E0F3BAB" w14:textId="51227FB9" w:rsidR="002E57FF" w:rsidRDefault="002E57FF">
      <w:pPr>
        <w:spacing w:after="0" w:line="240" w:lineRule="auto"/>
        <w:jc w:val="both"/>
      </w:pPr>
      <w:r>
        <w:t>A</w:t>
      </w:r>
      <w:r w:rsidRPr="002E57FF">
        <w:t xml:space="preserve"> “migration chain” mechanism could link expensive new housing to </w:t>
      </w:r>
      <w:r>
        <w:t xml:space="preserve">the market for </w:t>
      </w:r>
      <w:r w:rsidRPr="002E57FF">
        <w:t>cheaper types of housing.</w:t>
      </w:r>
      <w:r>
        <w:t xml:space="preserve"> </w:t>
      </w:r>
      <w:r w:rsidRPr="002E57FF">
        <w:t>Some households who would have otherwise occupied cheaper units move into new units, reducing demand and lowering prices for the units they leave vacant. The process iterates when a second round of households moves into the units the first round left vacant. This ripple effect spreads out further and further, eventually reducing</w:t>
      </w:r>
      <w:r>
        <w:t xml:space="preserve"> demand and</w:t>
      </w:r>
      <w:r w:rsidRPr="002E57FF">
        <w:t xml:space="preserve"> prices in middle- or low-income areas.</w:t>
      </w:r>
      <w:r w:rsidR="007B3CE9">
        <w:t xml:space="preserve"> Moreover, this mechanism could operate relatively quickly, since it does not require new housing to depreciate until it becomes affordable.</w:t>
      </w:r>
    </w:p>
    <w:p w14:paraId="6F438D78" w14:textId="77777777" w:rsidR="002E57FF" w:rsidRDefault="002E57FF">
      <w:pPr>
        <w:spacing w:after="0" w:line="240" w:lineRule="auto"/>
        <w:jc w:val="both"/>
      </w:pPr>
    </w:p>
    <w:p w14:paraId="0C506BEE" w14:textId="6AC4F641" w:rsidR="00B21F9D" w:rsidRDefault="002E57FF">
      <w:pPr>
        <w:spacing w:after="0" w:line="240" w:lineRule="auto"/>
        <w:jc w:val="both"/>
      </w:pPr>
      <w:r w:rsidRPr="002E57FF">
        <w:t>However,</w:t>
      </w:r>
      <w:r>
        <w:t xml:space="preserve"> the strength of this mechanism is an empirical question. I</w:t>
      </w:r>
      <w:r w:rsidRPr="002E57FF">
        <w:t>f different parts of the housing market (like new construction and low-income neighborhoods)</w:t>
      </w:r>
      <w:r>
        <w:t xml:space="preserve"> </w:t>
      </w:r>
      <w:r w:rsidRPr="002E57FF">
        <w:t xml:space="preserve">are strongly separated, with little cross-migration, the chain may never actually reach areas most in need. </w:t>
      </w:r>
      <w:r>
        <w:t>The unique address history data allows me to produce several pieces of evidence that suggest that migration chains are an important force.</w:t>
      </w:r>
    </w:p>
    <w:p w14:paraId="4ADB2EEF" w14:textId="24B88783" w:rsidR="002E57FF" w:rsidRDefault="002E57FF">
      <w:pPr>
        <w:spacing w:after="0" w:line="240" w:lineRule="auto"/>
        <w:jc w:val="both"/>
        <w:rPr>
          <w:b/>
          <w:sz w:val="28"/>
          <w:szCs w:val="28"/>
        </w:rPr>
      </w:pPr>
    </w:p>
    <w:p w14:paraId="04493EAA" w14:textId="4DCF5F55" w:rsidR="00B21F9D" w:rsidRDefault="007B3CE9">
      <w:pP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9FDC5A" wp14:editId="4F51A088">
            <wp:simplePos x="0" y="0"/>
            <wp:positionH relativeFrom="margin">
              <wp:posOffset>1397000</wp:posOffset>
            </wp:positionH>
            <wp:positionV relativeFrom="paragraph">
              <wp:posOffset>313055</wp:posOffset>
            </wp:positionV>
            <wp:extent cx="2673350" cy="2908300"/>
            <wp:effectExtent l="0" t="0" r="0" b="6350"/>
            <wp:wrapTopAndBottom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290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5D1">
        <w:rPr>
          <w:b/>
          <w:sz w:val="28"/>
          <w:szCs w:val="28"/>
        </w:rPr>
        <w:t>The First Round of the Chain—Residents of New Buildings</w:t>
      </w:r>
    </w:p>
    <w:p w14:paraId="72D4E26F" w14:textId="6CF9FF98" w:rsidR="0080203B" w:rsidRDefault="0080203B">
      <w:pPr>
        <w:spacing w:after="0" w:line="240" w:lineRule="auto"/>
        <w:jc w:val="both"/>
      </w:pPr>
    </w:p>
    <w:p w14:paraId="4AD9B0D8" w14:textId="0E6F10E1" w:rsidR="00B21F9D" w:rsidRDefault="00620016" w:rsidP="00620016">
      <w:pPr>
        <w:spacing w:after="0" w:line="240" w:lineRule="auto"/>
        <w:jc w:val="both"/>
      </w:pPr>
      <w:r w:rsidRPr="002151B5">
        <w:rPr>
          <w:color w:val="000000"/>
        </w:rPr>
        <w:lastRenderedPageBreak/>
        <w:t xml:space="preserve">I identify 686 large new market-rate multifamily buildings in </w:t>
      </w:r>
      <w:r>
        <w:rPr>
          <w:color w:val="000000"/>
        </w:rPr>
        <w:t xml:space="preserve">12 large </w:t>
      </w:r>
      <w:r w:rsidRPr="002151B5">
        <w:rPr>
          <w:color w:val="000000"/>
        </w:rPr>
        <w:t>central cities and track 52,000 of their current residents to their previous building of residence. I then find the tenants currently living in those buildings and track them to their previous residence, iterating for six rounds</w:t>
      </w:r>
      <w:r w:rsidRPr="004D41D6">
        <w:t xml:space="preserve">. </w:t>
      </w:r>
      <w:r w:rsidR="002E57FF">
        <w:t xml:space="preserve">The </w:t>
      </w:r>
      <w:r w:rsidR="007B3CE9">
        <w:t>below</w:t>
      </w:r>
      <w:r w:rsidR="002E57FF">
        <w:t xml:space="preserve"> figure plots the locations of </w:t>
      </w:r>
      <w:r>
        <w:t xml:space="preserve">new buildings near downtown Chicago </w:t>
      </w:r>
      <w:r w:rsidR="002E57FF">
        <w:t>(in red)</w:t>
      </w:r>
      <w:r>
        <w:t xml:space="preserve">, as well as </w:t>
      </w:r>
      <w:r w:rsidR="002E57FF">
        <w:t>the prior</w:t>
      </w:r>
      <w:r>
        <w:t xml:space="preserve"> residences of current new building residents (in black). Even the first round of the chain reaches a far broader area of the city than the region in which the new buildings are concentrated.</w:t>
      </w:r>
    </w:p>
    <w:p w14:paraId="63CA001A" w14:textId="7B59A45A" w:rsidR="00620016" w:rsidRPr="0080203B" w:rsidRDefault="00620016" w:rsidP="00620016">
      <w:pPr>
        <w:spacing w:after="0" w:line="240" w:lineRule="auto"/>
        <w:jc w:val="both"/>
        <w:rPr>
          <w:sz w:val="28"/>
          <w:szCs w:val="28"/>
        </w:rPr>
      </w:pPr>
    </w:p>
    <w:p w14:paraId="7A39A209" w14:textId="2D152237" w:rsidR="00B21F9D" w:rsidRDefault="00620016">
      <w:pPr>
        <w:spacing w:after="0" w:line="25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Later Rounds of the Chain</w:t>
      </w:r>
    </w:p>
    <w:p w14:paraId="586F0194" w14:textId="5FC1A4BA" w:rsidR="0080203B" w:rsidRDefault="0080203B">
      <w:pPr>
        <w:spacing w:after="0" w:line="256" w:lineRule="auto"/>
        <w:jc w:val="both"/>
      </w:pPr>
    </w:p>
    <w:p w14:paraId="7428C652" w14:textId="0C460979" w:rsidR="00B21F9D" w:rsidRDefault="00620016">
      <w:pPr>
        <w:spacing w:after="0" w:line="240" w:lineRule="auto"/>
        <w:jc w:val="both"/>
      </w:pPr>
      <w:r>
        <w:t xml:space="preserve">I next examine that share of each round of the chain that originates in census tracts </w:t>
      </w:r>
      <w:r w:rsidRPr="00620016">
        <w:t>with below MSA-median income</w:t>
      </w:r>
      <w:r>
        <w:t xml:space="preserve">. </w:t>
      </w:r>
      <w:r w:rsidR="007B3CE9">
        <w:t>About</w:t>
      </w:r>
      <w:r w:rsidRPr="004D41D6">
        <w:t xml:space="preserve"> 20 percent of new </w:t>
      </w:r>
      <w:r w:rsidRPr="002151B5">
        <w:rPr>
          <w:color w:val="000000"/>
        </w:rPr>
        <w:t xml:space="preserve">building residents </w:t>
      </w:r>
      <w:r w:rsidR="007B3CE9">
        <w:rPr>
          <w:color w:val="000000"/>
        </w:rPr>
        <w:t>moved</w:t>
      </w:r>
      <w:r w:rsidRPr="002151B5">
        <w:rPr>
          <w:color w:val="000000"/>
        </w:rPr>
        <w:t xml:space="preserve"> in from </w:t>
      </w:r>
      <w:r w:rsidR="007B3CE9">
        <w:rPr>
          <w:color w:val="000000"/>
        </w:rPr>
        <w:t>such neighborhoods</w:t>
      </w:r>
      <w:r w:rsidRPr="002151B5">
        <w:rPr>
          <w:color w:val="000000"/>
        </w:rPr>
        <w:t xml:space="preserve">, and that proportion rises steadily to </w:t>
      </w:r>
      <w:r>
        <w:rPr>
          <w:color w:val="000000"/>
        </w:rPr>
        <w:t xml:space="preserve">40 percent </w:t>
      </w:r>
      <w:r w:rsidRPr="002151B5">
        <w:rPr>
          <w:color w:val="000000"/>
        </w:rPr>
        <w:t xml:space="preserve">in round six. </w:t>
      </w:r>
      <w:r>
        <w:rPr>
          <w:color w:val="000000"/>
        </w:rPr>
        <w:t xml:space="preserve">The share </w:t>
      </w:r>
      <w:r>
        <w:t>from tracts in the bottom 20% of income is lower</w:t>
      </w:r>
      <w:r w:rsidR="007B3CE9">
        <w:t>,</w:t>
      </w:r>
      <w:r>
        <w:t xml:space="preserve"> but </w:t>
      </w:r>
      <w:r w:rsidR="007B3CE9">
        <w:t xml:space="preserve">it </w:t>
      </w:r>
      <w:r>
        <w:t>similarly increases as the chain continues. This</w:t>
      </w:r>
      <w:r w:rsidR="007B3CE9">
        <w:t xml:space="preserve"> </w:t>
      </w:r>
      <w:r>
        <w:t xml:space="preserve">illustrates that a short series of moves connects expensive new construction to lower-income areas, loosening the housing market in these </w:t>
      </w:r>
      <w:r w:rsidR="007B3CE9">
        <w:t>neighborhoods</w:t>
      </w:r>
      <w:r>
        <w:t xml:space="preserve">. </w:t>
      </w:r>
    </w:p>
    <w:p w14:paraId="5B4D3CB6" w14:textId="22B795A3" w:rsidR="00B21F9D" w:rsidRDefault="003D345D">
      <w:pPr>
        <w:spacing w:after="0" w:line="240" w:lineRule="auto"/>
        <w:jc w:val="center"/>
      </w:pPr>
      <w:r>
        <w:rPr>
          <w:noProof/>
        </w:rPr>
        <w:drawing>
          <wp:inline distT="114300" distB="114300" distL="114300" distR="114300" wp14:anchorId="67ECEAD5" wp14:editId="601CB224">
            <wp:extent cx="3663950" cy="257175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439" cy="2572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A7D828" w14:textId="77777777" w:rsidR="00B21F9D" w:rsidRDefault="00B21F9D">
      <w:pPr>
        <w:spacing w:after="0" w:line="240" w:lineRule="auto"/>
        <w:jc w:val="both"/>
        <w:rPr>
          <w:b/>
          <w:sz w:val="28"/>
          <w:szCs w:val="28"/>
        </w:rPr>
      </w:pPr>
    </w:p>
    <w:p w14:paraId="2D1C541E" w14:textId="180EB3A7" w:rsidR="00B21F9D" w:rsidRDefault="003D345D">
      <w:pPr>
        <w:spacing w:after="0" w:line="240" w:lineRule="auto"/>
        <w:jc w:val="both"/>
      </w:pPr>
      <w:r>
        <w:rPr>
          <w:b/>
          <w:sz w:val="28"/>
          <w:szCs w:val="28"/>
        </w:rPr>
        <w:t>Implications</w:t>
      </w:r>
    </w:p>
    <w:p w14:paraId="32D3D7B8" w14:textId="515E84A6" w:rsidR="00B21F9D" w:rsidRDefault="00B21F9D">
      <w:pPr>
        <w:spacing w:after="0" w:line="240" w:lineRule="auto"/>
        <w:ind w:left="720"/>
        <w:jc w:val="both"/>
      </w:pPr>
    </w:p>
    <w:p w14:paraId="56D13531" w14:textId="5CEE7169" w:rsidR="00620016" w:rsidRPr="003226B9" w:rsidRDefault="00620016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016">
        <w:t xml:space="preserve">Policies that increase market-rate construction are likely to improve affordability even for housing units </w:t>
      </w:r>
      <w:r w:rsidRPr="003226B9">
        <w:rPr>
          <w:rFonts w:asciiTheme="minorHAnsi" w:hAnsiTheme="minorHAnsi" w:cstheme="minorHAnsi"/>
        </w:rPr>
        <w:t xml:space="preserve">that </w:t>
      </w:r>
      <w:r w:rsidR="003226B9" w:rsidRPr="003226B9">
        <w:rPr>
          <w:rFonts w:asciiTheme="minorHAnsi" w:hAnsiTheme="minorHAnsi" w:cstheme="minorHAnsi"/>
          <w:color w:val="222222"/>
          <w:shd w:val="clear" w:color="auto" w:fill="FFFFFF"/>
        </w:rPr>
        <w:t>bear little similarity to the newly constructed units</w:t>
      </w:r>
      <w:r w:rsidRPr="003226B9">
        <w:rPr>
          <w:rFonts w:asciiTheme="minorHAnsi" w:hAnsiTheme="minorHAnsi" w:cstheme="minorHAnsi"/>
        </w:rPr>
        <w:t xml:space="preserve">.  </w:t>
      </w:r>
    </w:p>
    <w:p w14:paraId="479235B5" w14:textId="67564E10" w:rsidR="00B21F9D" w:rsidRDefault="00620016">
      <w:pPr>
        <w:numPr>
          <w:ilvl w:val="0"/>
          <w:numId w:val="1"/>
        </w:numPr>
        <w:tabs>
          <w:tab w:val="left" w:pos="2280"/>
        </w:tabs>
        <w:spacing w:after="0" w:line="240" w:lineRule="auto"/>
        <w:jc w:val="both"/>
      </w:pPr>
      <w:r w:rsidRPr="003226B9">
        <w:rPr>
          <w:rFonts w:asciiTheme="minorHAnsi" w:hAnsiTheme="minorHAnsi" w:cstheme="minorHAnsi"/>
        </w:rPr>
        <w:t>Because these affordability effects</w:t>
      </w:r>
      <w:r w:rsidR="00F95CF5" w:rsidRPr="003226B9">
        <w:rPr>
          <w:rFonts w:asciiTheme="minorHAnsi" w:hAnsiTheme="minorHAnsi" w:cstheme="minorHAnsi"/>
        </w:rPr>
        <w:t xml:space="preserve"> </w:t>
      </w:r>
      <w:r w:rsidR="007B3CE9" w:rsidRPr="003226B9">
        <w:rPr>
          <w:rFonts w:asciiTheme="minorHAnsi" w:hAnsiTheme="minorHAnsi" w:cstheme="minorHAnsi"/>
        </w:rPr>
        <w:t>operate by changing private</w:t>
      </w:r>
      <w:r w:rsidR="007B3CE9">
        <w:t xml:space="preserve"> market rents and prices</w:t>
      </w:r>
      <w:r>
        <w:t xml:space="preserve">, </w:t>
      </w:r>
      <w:r w:rsidR="00F95CF5">
        <w:t>additional assistance programs will still be required for households who cannot afford to rent or purchase a</w:t>
      </w:r>
      <w:r w:rsidR="007B3CE9">
        <w:t>ny</w:t>
      </w:r>
      <w:r w:rsidR="00F95CF5">
        <w:t xml:space="preserve"> private-market unit.</w:t>
      </w:r>
    </w:p>
    <w:p w14:paraId="4F233246" w14:textId="77777777" w:rsidR="00B21F9D" w:rsidRDefault="00B21F9D">
      <w:pPr>
        <w:tabs>
          <w:tab w:val="left" w:pos="2280"/>
        </w:tabs>
        <w:spacing w:after="0" w:line="240" w:lineRule="auto"/>
        <w:rPr>
          <w:color w:val="808080"/>
          <w:sz w:val="16"/>
          <w:szCs w:val="16"/>
        </w:rPr>
      </w:pPr>
    </w:p>
    <w:p w14:paraId="144C9940" w14:textId="77777777" w:rsidR="00B21F9D" w:rsidRDefault="00B21F9D">
      <w:pPr>
        <w:tabs>
          <w:tab w:val="left" w:pos="2280"/>
        </w:tabs>
        <w:spacing w:after="0" w:line="240" w:lineRule="auto"/>
        <w:rPr>
          <w:color w:val="806000"/>
        </w:rPr>
      </w:pPr>
    </w:p>
    <w:sectPr w:rsidR="00B21F9D">
      <w:headerReference w:type="default" r:id="rId10"/>
      <w:footerReference w:type="default" r:id="rId11"/>
      <w:pgSz w:w="12240" w:h="15840"/>
      <w:pgMar w:top="1152" w:right="1440" w:bottom="720" w:left="1440" w:header="28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D7C3" w14:textId="77777777" w:rsidR="00C14AA0" w:rsidRDefault="00C14AA0">
      <w:pPr>
        <w:spacing w:after="0" w:line="240" w:lineRule="auto"/>
      </w:pPr>
      <w:r>
        <w:separator/>
      </w:r>
    </w:p>
  </w:endnote>
  <w:endnote w:type="continuationSeparator" w:id="0">
    <w:p w14:paraId="230F7F3C" w14:textId="77777777" w:rsidR="00C14AA0" w:rsidRDefault="00C1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BA23" w14:textId="56D0788A" w:rsidR="00B21F9D" w:rsidRDefault="008020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i/>
        <w:color w:val="B00000"/>
        <w:sz w:val="20"/>
        <w:szCs w:val="20"/>
      </w:rPr>
    </w:pPr>
    <w:r>
      <w:rPr>
        <w:i/>
        <w:color w:val="B00000"/>
        <w:sz w:val="20"/>
        <w:szCs w:val="20"/>
      </w:rPr>
      <w:t>February 2023</w:t>
    </w:r>
    <w:r w:rsidR="003D345D">
      <w:rPr>
        <w:i/>
        <w:color w:val="B00000"/>
        <w:sz w:val="20"/>
        <w:szCs w:val="20"/>
      </w:rPr>
      <w:tab/>
    </w:r>
    <w:r w:rsidR="003D345D">
      <w:rPr>
        <w:i/>
        <w:color w:val="B00000"/>
        <w:sz w:val="20"/>
        <w:szCs w:val="20"/>
      </w:rPr>
      <w:tab/>
    </w:r>
    <w:r w:rsidR="003D345D">
      <w:rPr>
        <w:i/>
        <w:color w:val="B00000"/>
        <w:sz w:val="20"/>
        <w:szCs w:val="20"/>
      </w:rPr>
      <w:fldChar w:fldCharType="begin"/>
    </w:r>
    <w:r w:rsidR="003D345D">
      <w:rPr>
        <w:i/>
        <w:color w:val="B00000"/>
        <w:sz w:val="20"/>
        <w:szCs w:val="20"/>
      </w:rPr>
      <w:instrText>PAGE</w:instrText>
    </w:r>
    <w:r w:rsidR="003D345D">
      <w:rPr>
        <w:i/>
        <w:color w:val="B00000"/>
        <w:sz w:val="20"/>
        <w:szCs w:val="20"/>
      </w:rPr>
      <w:fldChar w:fldCharType="separate"/>
    </w:r>
    <w:r w:rsidR="00CF0EEE">
      <w:rPr>
        <w:i/>
        <w:noProof/>
        <w:color w:val="B00000"/>
        <w:sz w:val="20"/>
        <w:szCs w:val="20"/>
      </w:rPr>
      <w:t>1</w:t>
    </w:r>
    <w:r w:rsidR="003D345D">
      <w:rPr>
        <w:i/>
        <w:color w:val="B00000"/>
        <w:sz w:val="20"/>
        <w:szCs w:val="20"/>
      </w:rPr>
      <w:fldChar w:fldCharType="end"/>
    </w:r>
  </w:p>
  <w:p w14:paraId="2622AAB5" w14:textId="77777777" w:rsidR="00B21F9D" w:rsidRDefault="00B21F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E719" w14:textId="77777777" w:rsidR="00C14AA0" w:rsidRDefault="00C14AA0">
      <w:pPr>
        <w:spacing w:after="0" w:line="240" w:lineRule="auto"/>
      </w:pPr>
      <w:r>
        <w:separator/>
      </w:r>
    </w:p>
  </w:footnote>
  <w:footnote w:type="continuationSeparator" w:id="0">
    <w:p w14:paraId="7B845568" w14:textId="77777777" w:rsidR="00C14AA0" w:rsidRDefault="00C1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EA2E" w14:textId="77777777" w:rsidR="00B21F9D" w:rsidRDefault="00B21F9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F66DA"/>
    <w:multiLevelType w:val="multilevel"/>
    <w:tmpl w:val="E89C6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8407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9D"/>
    <w:rsid w:val="002E57FF"/>
    <w:rsid w:val="003226B9"/>
    <w:rsid w:val="003377A1"/>
    <w:rsid w:val="003D345D"/>
    <w:rsid w:val="005850DD"/>
    <w:rsid w:val="005B7288"/>
    <w:rsid w:val="00620016"/>
    <w:rsid w:val="00740A98"/>
    <w:rsid w:val="00764CC1"/>
    <w:rsid w:val="007B3CE9"/>
    <w:rsid w:val="0080203B"/>
    <w:rsid w:val="008C71B8"/>
    <w:rsid w:val="009704F6"/>
    <w:rsid w:val="00B21F9D"/>
    <w:rsid w:val="00C14AA0"/>
    <w:rsid w:val="00CF0EEE"/>
    <w:rsid w:val="00CF695A"/>
    <w:rsid w:val="00DE64CF"/>
    <w:rsid w:val="00F225D1"/>
    <w:rsid w:val="00F9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5D5E"/>
  <w15:docId w15:val="{824B4C4D-638F-3547-8F31-2E791FF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1A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E1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ACF"/>
  </w:style>
  <w:style w:type="paragraph" w:styleId="Footer">
    <w:name w:val="footer"/>
    <w:basedOn w:val="Normal"/>
    <w:link w:val="FooterChar"/>
    <w:uiPriority w:val="99"/>
    <w:unhideWhenUsed/>
    <w:rsid w:val="00FE1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ACF"/>
  </w:style>
  <w:style w:type="character" w:customStyle="1" w:styleId="TitleChar">
    <w:name w:val="Title Char"/>
    <w:basedOn w:val="DefaultParagraphFont"/>
    <w:link w:val="Title"/>
    <w:uiPriority w:val="10"/>
    <w:rsid w:val="00FE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E1A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2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4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JTB3ES7BSLCoSvPv8jhne644aA==">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DA38AFFD61B46ADAEC6A8701CFF4F" ma:contentTypeVersion="15" ma:contentTypeDescription="Create a new document." ma:contentTypeScope="" ma:versionID="dc547928ff7c8cc8d0f416d282ee1880">
  <xsd:schema xmlns:xsd="http://www.w3.org/2001/XMLSchema" xmlns:xs="http://www.w3.org/2001/XMLSchema" xmlns:p="http://schemas.microsoft.com/office/2006/metadata/properties" xmlns:ns2="b38b1099-03a0-4e06-8ffb-257dd786c317" xmlns:ns3="58d999ff-6b7b-473c-a4bc-244bed87d4ca" targetNamespace="http://schemas.microsoft.com/office/2006/metadata/properties" ma:root="true" ma:fieldsID="ecaf704bc1abfa816b3f9a80a95d359f" ns2:_="" ns3:_="">
    <xsd:import namespace="b38b1099-03a0-4e06-8ffb-257dd786c317"/>
    <xsd:import namespace="58d999ff-6b7b-473c-a4bc-244bed87d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b1099-03a0-4e06-8ffb-257dd786c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9de3ba-9cfa-49a7-b6b8-22264b5eb0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999ff-6b7b-473c-a4bc-244bed87d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a8dcd-ec2b-4f36-9e60-584d11547797}" ma:internalName="TaxCatchAll" ma:showField="CatchAllData" ma:web="58d999ff-6b7b-473c-a4bc-244bed87d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DE20B-93A2-416D-B396-138541D54DD1}"/>
</file>

<file path=customXml/itemProps3.xml><?xml version="1.0" encoding="utf-8"?>
<ds:datastoreItem xmlns:ds="http://schemas.openxmlformats.org/officeDocument/2006/customXml" ds:itemID="{35B4FF4A-6CE7-4C36-921C-BADE29ADEB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Marsman</dc:creator>
  <cp:lastModifiedBy>Ingrid Ellen</cp:lastModifiedBy>
  <cp:revision>2</cp:revision>
  <dcterms:created xsi:type="dcterms:W3CDTF">2023-02-16T12:45:00Z</dcterms:created>
  <dcterms:modified xsi:type="dcterms:W3CDTF">2023-02-16T12:45:00Z</dcterms:modified>
</cp:coreProperties>
</file>